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6" w:rsidRPr="001A53DE" w:rsidRDefault="00E65446" w:rsidP="00CB0971">
      <w:pPr>
        <w:spacing w:line="264" w:lineRule="auto"/>
        <w:jc w:val="center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 xml:space="preserve">ПРОЕКТНАЯ ДЕКЛАРАЦИЯ </w:t>
      </w:r>
    </w:p>
    <w:p w:rsidR="00E65446" w:rsidRP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</w:p>
    <w:p w:rsidR="00E65446" w:rsidRP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СТРОИТЕЛЬСТВО</w:t>
      </w:r>
      <w:r w:rsidR="00FE67F6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5-ЭТАЖН</w:t>
      </w:r>
      <w:r w:rsidR="0005340D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ОГО</w:t>
      </w: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ЖИЛ</w:t>
      </w:r>
      <w:r w:rsidR="0005340D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ОГО</w:t>
      </w: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ДОМ</w:t>
      </w:r>
      <w:r w:rsidR="00FE67F6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А (ПОЗ.2</w:t>
      </w:r>
      <w:r w:rsidR="0063136B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2</w:t>
      </w:r>
      <w:r w:rsidR="00FE67F6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)</w:t>
      </w:r>
    </w:p>
    <w:p w:rsid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по адресу: 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 xml:space="preserve">Ленинградская область, Гатчинский район, </w:t>
      </w:r>
    </w:p>
    <w:p w:rsidR="00E65446" w:rsidRPr="001A53DE" w:rsidRDefault="00FE67F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г</w:t>
      </w:r>
      <w:proofErr w:type="gramStart"/>
      <w:r w:rsidRPr="001A53DE">
        <w:rPr>
          <w:rFonts w:ascii="Book Antiqua" w:eastAsia="Arial Unicode MS" w:hAnsi="Book Antiqua" w:cs="Arial Unicode MS"/>
          <w:sz w:val="24"/>
          <w:szCs w:val="24"/>
        </w:rPr>
        <w:t>.К</w:t>
      </w:r>
      <w:proofErr w:type="gramEnd"/>
      <w:r w:rsidRPr="001A53DE">
        <w:rPr>
          <w:rFonts w:ascii="Book Antiqua" w:eastAsia="Arial Unicode MS" w:hAnsi="Book Antiqua" w:cs="Arial Unicode MS"/>
          <w:sz w:val="24"/>
          <w:szCs w:val="24"/>
        </w:rPr>
        <w:t>оммунар, массив «Ижора», уч.4</w:t>
      </w:r>
    </w:p>
    <w:p w:rsidR="001A53DE" w:rsidRDefault="001A53DE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</w:p>
    <w:p w:rsidR="00E65446" w:rsidRPr="001A53DE" w:rsidRDefault="00E65446" w:rsidP="00CB0971">
      <w:pPr>
        <w:pStyle w:val="ConsPlusTitle"/>
        <w:widowControl/>
        <w:spacing w:line="264" w:lineRule="auto"/>
        <w:jc w:val="center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Настоящая редакция опубликована </w:t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>1</w:t>
      </w:r>
      <w:r w:rsidR="008A3CF5">
        <w:rPr>
          <w:rFonts w:ascii="Book Antiqua" w:eastAsia="Arial Unicode MS" w:hAnsi="Book Antiqua" w:cs="Arial Unicode MS"/>
          <w:b w:val="0"/>
          <w:sz w:val="24"/>
          <w:szCs w:val="24"/>
        </w:rPr>
        <w:t>7</w:t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июня 2014г.</w:t>
      </w: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на Интернет-сайте Застройщика по адресу: </w:t>
      </w:r>
      <w:hyperlink r:id="rId5" w:history="1">
        <w:r w:rsidRPr="001A53DE">
          <w:rPr>
            <w:rStyle w:val="a3"/>
            <w:rFonts w:ascii="Book Antiqua" w:eastAsia="Arial Unicode MS" w:hAnsi="Book Antiqua" w:cs="Arial Unicode MS"/>
            <w:sz w:val="24"/>
            <w:szCs w:val="24"/>
          </w:rPr>
          <w:t>www.trest47.ru</w:t>
        </w:r>
      </w:hyperlink>
    </w:p>
    <w:p w:rsidR="00B44CA6" w:rsidRPr="001A53DE" w:rsidRDefault="00B44CA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</w:p>
    <w:p w:rsidR="00E65446" w:rsidRPr="001A53DE" w:rsidRDefault="00E6544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Cs w:val="24"/>
          <w:u w:val="single"/>
        </w:rPr>
        <w:t>И</w:t>
      </w:r>
      <w:r w:rsidR="001A53DE" w:rsidRPr="001A53DE">
        <w:rPr>
          <w:rFonts w:ascii="Book Antiqua" w:eastAsia="Arial Unicode MS" w:hAnsi="Book Antiqua" w:cs="Arial Unicode MS"/>
          <w:szCs w:val="24"/>
          <w:u w:val="single"/>
        </w:rPr>
        <w:t>НФОРМАЦИЯ О ЗАСТРОЙЩИКЕ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Наименование застройщика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Сокращенное - ЗАО “47 ТРЕСТ”, полное - закрытое акционерное общество "47 ТРЕСТ".</w:t>
      </w:r>
    </w:p>
    <w:p w:rsidR="00CB0971" w:rsidRPr="001A53DE" w:rsidRDefault="00CB0971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Фактический и юридический адрес застройщика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Default="00E65446" w:rsidP="00CB0971">
      <w:pPr>
        <w:pStyle w:val="3"/>
        <w:tabs>
          <w:tab w:val="num" w:pos="180"/>
        </w:tabs>
        <w:spacing w:line="264" w:lineRule="auto"/>
        <w:ind w:firstLine="0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Российская Федерация, Санкт-Петербург, 198188, ул. Васи Алексеева,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д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>ом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 9, корп.1, литер</w:t>
      </w:r>
      <w:proofErr w:type="gramStart"/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 А</w:t>
      </w:r>
      <w:proofErr w:type="gramEnd"/>
    </w:p>
    <w:p w:rsidR="00CB0971" w:rsidRPr="001A53DE" w:rsidRDefault="00CB0971" w:rsidP="00CB0971">
      <w:pPr>
        <w:pStyle w:val="3"/>
        <w:tabs>
          <w:tab w:val="num" w:pos="180"/>
        </w:tabs>
        <w:spacing w:line="264" w:lineRule="auto"/>
        <w:ind w:firstLine="0"/>
        <w:rPr>
          <w:rFonts w:ascii="Book Antiqua" w:eastAsia="Arial Unicode MS" w:hAnsi="Book Antiqua" w:cs="Arial Unicode MS"/>
          <w:sz w:val="24"/>
          <w:szCs w:val="24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Режим работы застройщика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понедельника по четверг с 9-00 до 18-00, в пятницу с 9-00 до 17-00.</w:t>
      </w:r>
    </w:p>
    <w:p w:rsidR="00CB0971" w:rsidRPr="001A53DE" w:rsidRDefault="00CB0971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Банковские реквизиты</w:t>
      </w:r>
    </w:p>
    <w:p w:rsidR="00E65446" w:rsidRDefault="00E65446" w:rsidP="00CB0971">
      <w:pPr>
        <w:tabs>
          <w:tab w:val="left" w:pos="4860"/>
        </w:tabs>
        <w:spacing w:line="264" w:lineRule="auto"/>
        <w:ind w:right="57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ИНН 7807020417, БИК 044030704, КПП 780501001, ОГРН 1027802743935, ОКПО 01303562, кор.сч.30101810200000000704,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р.сч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. 40702810172000001125 в филиале ОПЕРУ -4 ОАО Банк ВТБ в Санкт-Петербурге</w:t>
      </w:r>
    </w:p>
    <w:p w:rsidR="00CB0971" w:rsidRPr="001A53DE" w:rsidRDefault="00CB0971" w:rsidP="00CB0971">
      <w:pPr>
        <w:tabs>
          <w:tab w:val="left" w:pos="4860"/>
        </w:tabs>
        <w:spacing w:line="264" w:lineRule="auto"/>
        <w:ind w:right="57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Сведения о руководителях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Генеральный директор ЗАО “47 ТРЕСТ” с 1996г.– Зарубин М.К., 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главный бухгалтер ЗАО “47 ТРЕСТ” с 1998г.– Пчелкина О.П.</w:t>
      </w:r>
    </w:p>
    <w:p w:rsidR="00CB0971" w:rsidRPr="001A53DE" w:rsidRDefault="00CB0971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0" w:name="reg"/>
      <w:bookmarkEnd w:id="0"/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Государственная регистрация застройщика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Закрытое акционерное общество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Свидетельство о регистрации № 8193 от 31 октября 1994г., 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2002г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 основным государственным регистрационным номером 1027802743935 от 04 декабря 2002г.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Устав ЗАО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зарегистрирован 27 июня 2002г. Регистрационной палатой Санкт-Петербурга за № 278204.</w:t>
      </w:r>
    </w:p>
    <w:p w:rsidR="00CB0971" w:rsidRPr="001A53DE" w:rsidRDefault="00CB0971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1" w:name="uch"/>
      <w:bookmarkEnd w:id="1"/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Учредители застройщика, которые обладают пятью и более процентами голосов в органе управления этого юридического лица: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bookmarkStart w:id="2" w:name="proj"/>
      <w:bookmarkEnd w:id="2"/>
      <w:r w:rsidRPr="001A53DE">
        <w:rPr>
          <w:rFonts w:ascii="Book Antiqua" w:eastAsia="Arial Unicode MS" w:hAnsi="Book Antiqua" w:cs="Arial Unicode MS"/>
          <w:szCs w:val="24"/>
          <w:lang w:val="ru-RU"/>
        </w:rPr>
        <w:t>Зарубин Михаил Константинович – 57,29 %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Еранцев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Владимир Иванович – 12,58 %</w:t>
      </w:r>
    </w:p>
    <w:p w:rsidR="00CB0971" w:rsidRPr="001A53DE" w:rsidRDefault="00CB0971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 </w:t>
      </w:r>
    </w:p>
    <w:tbl>
      <w:tblPr>
        <w:tblW w:w="9930" w:type="dxa"/>
        <w:tblInd w:w="108" w:type="dxa"/>
        <w:tblLayout w:type="fixed"/>
        <w:tblLook w:val="04A0"/>
      </w:tblPr>
      <w:tblGrid>
        <w:gridCol w:w="6096"/>
        <w:gridCol w:w="2268"/>
        <w:gridCol w:w="1566"/>
      </w:tblGrid>
      <w:tr w:rsidR="00E65446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bookmarkStart w:id="3" w:name="lic"/>
            <w:bookmarkEnd w:id="3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lastRenderedPageBreak/>
              <w:t>Строительный 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Срок ввода объекта в эксплуатацию в соответствии с проектной документацией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71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 xml:space="preserve">Фактический срок ввода объекта в </w:t>
            </w: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эксплуата</w:t>
            </w:r>
            <w:proofErr w:type="spellEnd"/>
          </w:p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цию</w:t>
            </w:r>
            <w:proofErr w:type="spellEnd"/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Санкт-Петербург, Невский район, Шлиссельбургский пр., участок 1 (северо-восточнее дома 36, корп.1 по 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Шлиссельбургскому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пр.)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Ленинградская область, Всеволожский район, пос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.Р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омановка</w:t>
            </w:r>
            <w:r w:rsidR="001A53DE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, 2-я очередь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</w:tr>
      <w:tr w:rsidR="00D67F79" w:rsidRPr="008B25A2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Санкт-Петербург, пос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.С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трельна, </w:t>
            </w:r>
            <w:r w:rsidR="008B25A2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br/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ул.Львовская, дом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1A53DE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846E86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</w:tr>
    </w:tbl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Вид деятельности застройщика, 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допуск к которой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выдан члену СРО некоммерческое партнерство “Объединение строителей Санкт-Петербурга”</w:t>
      </w: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–с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>троительство, реконструкция и капитальный ремонт. Свидетельство № 0086.02-2010-7807020417-С-003 от 22.03.2012г. о допуске к работам, которые оказывают влияние на безопасность объектов капитального строительства.</w:t>
      </w:r>
    </w:p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4" w:name="mon"/>
      <w:bookmarkEnd w:id="4"/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>Финансовый результат, размер кредиторской задолженности на день опубликования проектной декларации</w:t>
      </w:r>
    </w:p>
    <w:p w:rsidR="00E65446" w:rsidRPr="001A53DE" w:rsidRDefault="008B25A2" w:rsidP="00CB0971">
      <w:pPr>
        <w:pStyle w:val="a8"/>
        <w:numPr>
          <w:ilvl w:val="0"/>
          <w:numId w:val="2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 xml:space="preserve">  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Финансовый результат за </w:t>
      </w:r>
      <w:r w:rsidR="00E65446" w:rsidRPr="001A53DE">
        <w:rPr>
          <w:rFonts w:ascii="Book Antiqua" w:eastAsia="Arial Unicode MS" w:hAnsi="Book Antiqua" w:cs="Arial Unicode MS"/>
          <w:szCs w:val="24"/>
        </w:rPr>
        <w:t>I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квартал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201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B44CA6"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>ода</w:t>
      </w:r>
      <w:r w:rsidR="00B44CA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составил 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8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999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тыс. руб.</w:t>
      </w:r>
    </w:p>
    <w:p w:rsidR="00E65446" w:rsidRPr="001A53DE" w:rsidRDefault="00E65446" w:rsidP="00CB0971">
      <w:pPr>
        <w:pStyle w:val="a8"/>
        <w:numPr>
          <w:ilvl w:val="0"/>
          <w:numId w:val="2"/>
        </w:numPr>
        <w:tabs>
          <w:tab w:val="num" w:pos="90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Размер кредиторской задолженности на 3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1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.0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3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201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>ода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составил 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73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 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427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тыс. руб.</w:t>
      </w:r>
    </w:p>
    <w:p w:rsidR="00E65446" w:rsidRPr="001A53DE" w:rsidRDefault="00E65446" w:rsidP="00CB0971">
      <w:pPr>
        <w:pStyle w:val="a8"/>
        <w:numPr>
          <w:ilvl w:val="0"/>
          <w:numId w:val="2"/>
        </w:numPr>
        <w:tabs>
          <w:tab w:val="num" w:pos="90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Размер дебиторской задолженности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на 3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1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.0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.201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>ода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составил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59 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634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тыс</w:t>
      </w: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.р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>уб.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center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</w:p>
    <w:p w:rsidR="00E65446" w:rsidRPr="001A53DE" w:rsidRDefault="00E65446" w:rsidP="00CB0971">
      <w:pPr>
        <w:tabs>
          <w:tab w:val="num" w:pos="0"/>
        </w:tabs>
        <w:spacing w:line="264" w:lineRule="auto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И</w:t>
      </w:r>
      <w:r w:rsid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НФОРМАЦИЯ ОБ ОБЪЕКТЕ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Цель проекта строительства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Строительство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5-этажн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</w:t>
      </w:r>
      <w:r w:rsidR="005A6D9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жил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дом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. 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Этапы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– проектирование Объекта – 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завершено;</w:t>
      </w:r>
    </w:p>
    <w:p w:rsid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- строительство Объекта выполнено на 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70%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Сроки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bCs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Завершение строительства Объекта – </w:t>
      </w:r>
      <w:r w:rsidRPr="001A53DE">
        <w:rPr>
          <w:rFonts w:ascii="Book Antiqua" w:eastAsia="Arial Unicode MS" w:hAnsi="Book Antiqua" w:cs="Arial Unicode MS"/>
          <w:bCs/>
          <w:szCs w:val="24"/>
        </w:rPr>
        <w:t>I</w:t>
      </w:r>
      <w:r w:rsidR="005A6D99" w:rsidRPr="001A53DE">
        <w:rPr>
          <w:rFonts w:ascii="Book Antiqua" w:eastAsia="Arial Unicode MS" w:hAnsi="Book Antiqua" w:cs="Arial Unicode MS"/>
          <w:bCs/>
          <w:szCs w:val="24"/>
        </w:rPr>
        <w:t>V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квартал 201</w:t>
      </w:r>
      <w:r w:rsidR="00FC0EEC" w:rsidRPr="001A53DE">
        <w:rPr>
          <w:rFonts w:ascii="Book Antiqua" w:eastAsia="Arial Unicode MS" w:hAnsi="Book Antiqua" w:cs="Arial Unicode MS"/>
          <w:bCs/>
          <w:szCs w:val="24"/>
          <w:lang w:val="ru-RU"/>
        </w:rPr>
        <w:t>5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года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Результаты проведения </w:t>
      </w:r>
      <w:r w:rsidR="005A6D99" w:rsidRPr="00CB0971">
        <w:rPr>
          <w:rFonts w:ascii="Book Antiqua" w:eastAsia="Arial Unicode MS" w:hAnsi="Book Antiqua" w:cs="Arial Unicode MS"/>
          <w:b/>
          <w:szCs w:val="24"/>
          <w:lang w:val="ru-RU"/>
        </w:rPr>
        <w:t>не</w:t>
      </w: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государственной экспертизы проектной документации: 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положительное заключение 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ООО «</w:t>
      </w:r>
      <w:proofErr w:type="spellStart"/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Союзпетрострой-Эксперт</w:t>
      </w:r>
      <w:proofErr w:type="spellEnd"/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» от 31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.0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7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.201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3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г., </w:t>
      </w:r>
      <w:proofErr w:type="spellStart"/>
      <w:r w:rsidRPr="00CB0971">
        <w:rPr>
          <w:rFonts w:ascii="Book Antiqua" w:eastAsia="Arial Unicode MS" w:hAnsi="Book Antiqua" w:cs="Arial Unicode MS"/>
          <w:szCs w:val="24"/>
          <w:lang w:val="ru-RU"/>
        </w:rPr>
        <w:t>рег</w:t>
      </w:r>
      <w:proofErr w:type="spellEnd"/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. № 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2-1-1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-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0022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-1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3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Разрешение на строительство</w:t>
      </w:r>
    </w:p>
    <w:p w:rsidR="00634461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Разрешение на строительство №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7180F" w:rsidRPr="001A53DE">
        <w:rPr>
          <w:rFonts w:ascii="Book Antiqua" w:eastAsia="Arial Unicode MS" w:hAnsi="Book Antiqua" w:cs="Arial Unicode MS"/>
          <w:szCs w:val="24"/>
        </w:rPr>
        <w:t>RU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47506106-0279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выдано 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Администрацией муниципального образования города Коммунар Гатчинского муниципального района Ленинградской области 16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августа 2013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634461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Pr="00CB0971" w:rsidRDefault="009D7519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Кадастровый номер 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участка 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47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24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0104001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620</w:t>
      </w:r>
    </w:p>
    <w:p w:rsidR="00E65446" w:rsidRPr="00CB0971" w:rsidRDefault="00E65446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Границы и площадь земельного участка, предусмотренные проектной документацией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Земельн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ый участок площадью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10196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границы определены кадастровым планом земельного участка. Участок расположен по адресу: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Ленинградская область, Гатчинский район, г</w:t>
      </w:r>
      <w:proofErr w:type="gramStart"/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.К</w:t>
      </w:r>
      <w:proofErr w:type="gramEnd"/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оммунар, массив «Ижора», уч.4.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Участок, отведенный под строительство жилого дома находится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 жилой зоне, и ограничен: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lastRenderedPageBreak/>
        <w:t>с севера –</w:t>
      </w:r>
      <w:r w:rsidR="00D2677A" w:rsidRPr="001A53DE"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  <w:t xml:space="preserve"> </w:t>
      </w:r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территорией жилого квартала следующей очереди строительства</w:t>
      </w:r>
      <w:r w:rsidRPr="001A53DE"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  <w:t>;</w:t>
      </w:r>
    </w:p>
    <w:p w:rsidR="00E65446" w:rsidRPr="001A53DE" w:rsidRDefault="0064665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востока –</w:t>
      </w:r>
      <w:r w:rsidRPr="001A53DE"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незастроенной территорией с мелиоративной канавой шириной 10 м</w:t>
      </w:r>
      <w:r w:rsidR="00E65446" w:rsidRPr="001A53DE"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  <w:t>;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юга –</w:t>
      </w:r>
      <w:r w:rsidRPr="001A53DE"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  <w:t xml:space="preserve"> </w:t>
      </w:r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границей квартала «</w:t>
      </w:r>
      <w:proofErr w:type="spellStart"/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Ново-Антропшино</w:t>
      </w:r>
      <w:proofErr w:type="spellEnd"/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»</w:t>
      </w:r>
    </w:p>
    <w:p w:rsidR="00646656" w:rsidRPr="001A53DE" w:rsidRDefault="0064665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с запада – проектируемой улицей и ранее запроектированным жилым кварталом.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Права застройщика на земельный участок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Участок находится в собственности ЗАО “47 ТРЕСТ”, что подтверждается свидетельством о государственн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ой регистрации права, выданным 03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04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.20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г.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У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правлением федеральной службы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государственной регистрации, кадастра и картографии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по Ленинградской области. Свидетельство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47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-А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Б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759553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запись о регистрации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47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-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47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-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17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/0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39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/20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-1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86 от 03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04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.20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г. 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Элементы благоустройства</w:t>
      </w:r>
    </w:p>
    <w:p w:rsidR="00E65446" w:rsidRPr="001A53DE" w:rsidRDefault="00E65446" w:rsidP="00CB0971">
      <w:pPr>
        <w:pStyle w:val="a6"/>
        <w:tabs>
          <w:tab w:val="num" w:pos="0"/>
        </w:tabs>
        <w:spacing w:line="264" w:lineRule="auto"/>
        <w:ind w:firstLine="0"/>
        <w:rPr>
          <w:rFonts w:ascii="Book Antiqua" w:eastAsia="Arial Unicode MS" w:hAnsi="Book Antiqua" w:cs="Arial Unicode MS"/>
          <w:i w:val="0"/>
          <w:iCs w:val="0"/>
          <w:szCs w:val="24"/>
        </w:rPr>
      </w:pP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На территории предусмотрено строительство проездов, тротуаров,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 xml:space="preserve"> устройство открытых автостоянок, площадок отдыха, </w:t>
      </w: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озеленение территории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>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Местоположение Объекта и его описание в соответствии с проектной документацией, на основании которой выдано разрешение на строительство</w:t>
      </w:r>
    </w:p>
    <w:p w:rsidR="00CA160E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Объект расположен на земельном участке по адресу: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Ленинградская область, Гатчинский район, г</w:t>
      </w:r>
      <w:proofErr w:type="gramStart"/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.К</w:t>
      </w:r>
      <w:proofErr w:type="gramEnd"/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оммунар, массив «Ижора», уч.4.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В соответствии с проектной документацией производится строительство 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br/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5-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э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тажн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 жилого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дом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из монолитных конструкций, со следующими технико-экономическими показателями: площадь земельного участка – 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 xml:space="preserve">10196 кв.м.,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площадь застройки дома (надземной жилой части) – 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941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36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</w:t>
      </w: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.м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площадь здания – 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3925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0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кв.м., строительный объем –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1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6480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69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куб.м., количество квартир – 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68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этажность – 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5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этажей,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техподполье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Количество в составе Объекта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общее количество квартир – 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68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из них: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Однокомнатных – 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46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Двухкомнатных – 1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>7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63136B" w:rsidRPr="001A53DE" w:rsidRDefault="0063136B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Трехкомнатных – 5 шт.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общие коридоры, 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техподполье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, в котором имеются: инженерные коммуникации, кладовая уборочного инвентаря, водомерный узел, 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электрощитовая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;</w:t>
      </w:r>
      <w:proofErr w:type="gram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иное обслуживающее более одного помещения в Объекте оборудование, а также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</w:p>
    <w:p w:rsidR="00E65446" w:rsidRPr="00CB0971" w:rsidRDefault="00634461" w:rsidP="00CB0971">
      <w:pPr>
        <w:pStyle w:val="a8"/>
        <w:numPr>
          <w:ilvl w:val="0"/>
          <w:numId w:val="6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lastRenderedPageBreak/>
        <w:t xml:space="preserve">Срок </w:t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получения разрешения на ввод в эксплуатацию строящегося жилого дома</w:t>
      </w:r>
    </w:p>
    <w:p w:rsidR="00E65446" w:rsidRPr="001A53DE" w:rsidRDefault="009B3914" w:rsidP="00CB0971">
      <w:pPr>
        <w:spacing w:line="264" w:lineRule="auto"/>
        <w:ind w:right="-717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szCs w:val="24"/>
        </w:rPr>
        <w:t>IV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квартал 2015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г.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E65446" w:rsidRPr="001A53DE" w:rsidRDefault="00E65446" w:rsidP="00CB0971">
      <w:pPr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Государственные органы: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- </w:t>
      </w:r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>Комитет государственного строительного надзора и государственной экспертизы Ленинградской обл.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;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- Администрация </w:t>
      </w:r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 xml:space="preserve">МО </w:t>
      </w:r>
      <w:proofErr w:type="spellStart"/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>гор</w:t>
      </w:r>
      <w:proofErr w:type="gramStart"/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>.К</w:t>
      </w:r>
      <w:proofErr w:type="gramEnd"/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>оммунар</w:t>
      </w:r>
      <w:proofErr w:type="spellEnd"/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 xml:space="preserve"> Гатчинского муниципального района Ленинградской области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;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Организации, осуществляющие основные строительно-монтажные и другие работы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ЗАО "47 ТРЕСТ" – застройщик, заказчик;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представитель эксплуатирующей организации;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генеральный подрядчик – ЗАО "47 ТРЕСТ";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альный проектировщик ОАО “</w:t>
      </w:r>
      <w:proofErr w:type="spellStart"/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Ленграждан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проект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”;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субподрядные и привлечённые организации.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  <w:tab w:val="left" w:pos="567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Возможные финансовые и прочие риски при осуществлении проекта строительства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Политические и законодательные риски: изменения нормативно-правовых актов, касающихся осуществления строительства, ведения строительного бизнеса, изменения нормативно-правовых актов специального характера в области строительства, принятие новых нормативных актов, усложняющих ведение строительного бизнеса.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Риски экономического характера: инфляция, рост себестоимости строительства за счет увеличения цен на строительные материалы, повышения стоимости иных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ценообразующих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факторов, не зависящих от застройщика и влияющих на себестоимость, рост процентных ставок по заемным средствам; несоблюдение сроков договоров со стороны подрядных организаций и со стороны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энергоснабжающих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организаций. Страхование вышеуказанных рисков застройщиком не производится.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Стоимость строительства (создания) Объекта</w:t>
      </w:r>
    </w:p>
    <w:p w:rsidR="00E65446" w:rsidRPr="001A53DE" w:rsidRDefault="001A53DE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15</w:t>
      </w:r>
      <w:r w:rsidR="00846E86" w:rsidRPr="001A53DE">
        <w:rPr>
          <w:rFonts w:ascii="Book Antiqua" w:eastAsia="Arial Unicode MS" w:hAnsi="Book Antiqua" w:cs="Arial Unicode MS"/>
          <w:szCs w:val="24"/>
          <w:lang w:val="ru-RU"/>
        </w:rPr>
        <w:t>0 млн</w:t>
      </w:r>
      <w:proofErr w:type="gramStart"/>
      <w:r w:rsidR="00846E86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р</w:t>
      </w:r>
      <w:proofErr w:type="gramEnd"/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ублей.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Перечень подрядных организаций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ООО «СК Новый дом», ООО «СК КРАТОН»,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Энергострой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«Илим», ООО "ЭМОС", ООО «Спецпроект»,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НордСтрой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"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СПбМонтаж-плюс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", ООО «РУСГАНЗА 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Продактс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ЛенИнжСтрой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Даркостройпроект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«Топаз»,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ЮнионИнвестСтрой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ЗАО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Стройтехнология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», ООО «ПКФ 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СтройГазГарант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Способ обеспечения исполнения обязательств по договору</w:t>
      </w:r>
    </w:p>
    <w:p w:rsidR="00E65446" w:rsidRPr="001A53DE" w:rsidRDefault="00E65446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Передача имущества и прав Застройщика в залог в рамках ст. 13 Федерального закона № 214-ФЗ от 30.12.2004г. (с последующими изменениями и дополнениями)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E65446" w:rsidRPr="001A53DE" w:rsidRDefault="00E65446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bCs w:val="0"/>
          <w:sz w:val="24"/>
          <w:szCs w:val="24"/>
        </w:rPr>
        <w:t>Иные договоры и сделки, на основании которых привлекаются денежные средства для строительства – отсутствуют.</w:t>
      </w:r>
    </w:p>
    <w:p w:rsidR="00667862" w:rsidRPr="001A53DE" w:rsidRDefault="00667862" w:rsidP="00CB0971">
      <w:pPr>
        <w:spacing w:line="264" w:lineRule="auto"/>
        <w:rPr>
          <w:rFonts w:ascii="Book Antiqua" w:eastAsia="Arial Unicode MS" w:hAnsi="Book Antiqua" w:cs="Arial Unicode MS"/>
          <w:szCs w:val="24"/>
          <w:lang w:val="ru-RU"/>
        </w:rPr>
      </w:pPr>
    </w:p>
    <w:sectPr w:rsidR="00667862" w:rsidRPr="001A53DE" w:rsidSect="00CB0971">
      <w:pgSz w:w="11906" w:h="16838"/>
      <w:pgMar w:top="993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CE"/>
    <w:multiLevelType w:val="hybridMultilevel"/>
    <w:tmpl w:val="2528BF6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A6D6BEE"/>
    <w:multiLevelType w:val="hybridMultilevel"/>
    <w:tmpl w:val="D658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54806"/>
    <w:multiLevelType w:val="hybridMultilevel"/>
    <w:tmpl w:val="BE0E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5013C"/>
    <w:multiLevelType w:val="hybridMultilevel"/>
    <w:tmpl w:val="237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02F68"/>
    <w:multiLevelType w:val="hybridMultilevel"/>
    <w:tmpl w:val="7FC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446"/>
    <w:rsid w:val="0005340D"/>
    <w:rsid w:val="000B785F"/>
    <w:rsid w:val="000C5820"/>
    <w:rsid w:val="000F6462"/>
    <w:rsid w:val="00195FA1"/>
    <w:rsid w:val="001A53DE"/>
    <w:rsid w:val="001D2A69"/>
    <w:rsid w:val="00266052"/>
    <w:rsid w:val="002C127D"/>
    <w:rsid w:val="003E67EA"/>
    <w:rsid w:val="005A0B9A"/>
    <w:rsid w:val="005A6D99"/>
    <w:rsid w:val="0063136B"/>
    <w:rsid w:val="00634461"/>
    <w:rsid w:val="00646656"/>
    <w:rsid w:val="0065259D"/>
    <w:rsid w:val="00667862"/>
    <w:rsid w:val="007B0D32"/>
    <w:rsid w:val="00846E86"/>
    <w:rsid w:val="0087180F"/>
    <w:rsid w:val="008A3CF5"/>
    <w:rsid w:val="008B25A2"/>
    <w:rsid w:val="009149DC"/>
    <w:rsid w:val="00970D01"/>
    <w:rsid w:val="009B3914"/>
    <w:rsid w:val="009D7519"/>
    <w:rsid w:val="00A224E3"/>
    <w:rsid w:val="00A24B2A"/>
    <w:rsid w:val="00A70784"/>
    <w:rsid w:val="00AB22F0"/>
    <w:rsid w:val="00AD7A8D"/>
    <w:rsid w:val="00AF7485"/>
    <w:rsid w:val="00B3233F"/>
    <w:rsid w:val="00B44CA6"/>
    <w:rsid w:val="00BD3796"/>
    <w:rsid w:val="00CA160E"/>
    <w:rsid w:val="00CB0971"/>
    <w:rsid w:val="00D2677A"/>
    <w:rsid w:val="00D67F79"/>
    <w:rsid w:val="00D832A9"/>
    <w:rsid w:val="00E65446"/>
    <w:rsid w:val="00ED5247"/>
    <w:rsid w:val="00F41230"/>
    <w:rsid w:val="00F74C63"/>
    <w:rsid w:val="00FC0EEC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65446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446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E65446"/>
    <w:rPr>
      <w:color w:val="0000FF"/>
      <w:u w:val="single"/>
    </w:rPr>
  </w:style>
  <w:style w:type="paragraph" w:styleId="a4">
    <w:name w:val="Title"/>
    <w:basedOn w:val="a"/>
    <w:link w:val="a5"/>
    <w:qFormat/>
    <w:rsid w:val="00E65446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basedOn w:val="a0"/>
    <w:link w:val="a4"/>
    <w:rsid w:val="00E65446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E65446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65446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446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E65446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65446"/>
    <w:pPr>
      <w:ind w:left="720"/>
      <w:contextualSpacing/>
    </w:pPr>
  </w:style>
  <w:style w:type="paragraph" w:customStyle="1" w:styleId="ConsNonformat">
    <w:name w:val="ConsNonformat"/>
    <w:rsid w:val="00E65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st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Катя</cp:lastModifiedBy>
  <cp:revision>2</cp:revision>
  <cp:lastPrinted>2014-06-17T06:30:00Z</cp:lastPrinted>
  <dcterms:created xsi:type="dcterms:W3CDTF">2015-05-21T14:40:00Z</dcterms:created>
  <dcterms:modified xsi:type="dcterms:W3CDTF">2015-05-21T14:40:00Z</dcterms:modified>
</cp:coreProperties>
</file>